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16" w:rsidRPr="00D03C16" w:rsidRDefault="00D03C16" w:rsidP="00D03C16">
      <w:pPr>
        <w:tabs>
          <w:tab w:val="left" w:pos="567"/>
        </w:tabs>
        <w:rPr>
          <w:rFonts w:cs="Arial"/>
          <w:b/>
          <w:sz w:val="28"/>
          <w:szCs w:val="28"/>
        </w:rPr>
      </w:pPr>
      <w:r w:rsidRPr="00D03C16">
        <w:rPr>
          <w:rFonts w:cs="Arial"/>
          <w:b/>
          <w:sz w:val="28"/>
          <w:szCs w:val="28"/>
        </w:rPr>
        <w:t>3GPP TSG-RAN WG</w:t>
      </w:r>
      <w:r w:rsidR="00E6294C">
        <w:rPr>
          <w:rFonts w:cs="Arial"/>
          <w:b/>
          <w:sz w:val="28"/>
          <w:szCs w:val="28"/>
        </w:rPr>
        <w:t>1</w:t>
      </w:r>
      <w:r w:rsidRPr="00D03C16">
        <w:rPr>
          <w:rFonts w:cs="Arial"/>
          <w:b/>
          <w:sz w:val="28"/>
          <w:szCs w:val="28"/>
        </w:rPr>
        <w:t xml:space="preserve"> Meeting #</w:t>
      </w:r>
      <w:r w:rsidR="00E6294C">
        <w:rPr>
          <w:rFonts w:cs="Arial"/>
          <w:b/>
          <w:sz w:val="28"/>
          <w:szCs w:val="28"/>
        </w:rPr>
        <w:t>9</w:t>
      </w:r>
      <w:r w:rsidR="007F33DD">
        <w:rPr>
          <w:rFonts w:cs="Arial"/>
          <w:b/>
          <w:sz w:val="28"/>
          <w:szCs w:val="28"/>
        </w:rPr>
        <w:t>5</w:t>
      </w:r>
      <w:r w:rsidRPr="00D03C16">
        <w:rPr>
          <w:rFonts w:cs="Arial"/>
          <w:b/>
          <w:sz w:val="28"/>
          <w:szCs w:val="28"/>
        </w:rPr>
        <w:t xml:space="preserve">     </w:t>
      </w:r>
      <w:r w:rsidRPr="00D03C16">
        <w:rPr>
          <w:rFonts w:cs="Arial"/>
          <w:b/>
          <w:sz w:val="28"/>
          <w:szCs w:val="28"/>
        </w:rPr>
        <w:tab/>
      </w:r>
      <w:r w:rsidRPr="00D03C16">
        <w:rPr>
          <w:rFonts w:cs="Arial"/>
          <w:b/>
          <w:sz w:val="28"/>
          <w:szCs w:val="28"/>
        </w:rPr>
        <w:tab/>
      </w:r>
      <w:r>
        <w:rPr>
          <w:rFonts w:cs="Arial"/>
          <w:b/>
          <w:sz w:val="28"/>
          <w:szCs w:val="28"/>
        </w:rPr>
        <w:t xml:space="preserve">                         </w:t>
      </w:r>
      <w:r w:rsidR="00535CBA">
        <w:rPr>
          <w:rFonts w:cs="Arial"/>
          <w:b/>
          <w:sz w:val="28"/>
          <w:szCs w:val="28"/>
        </w:rPr>
        <w:t xml:space="preserve">          </w:t>
      </w:r>
      <w:bookmarkStart w:id="0" w:name="_GoBack"/>
      <w:bookmarkEnd w:id="0"/>
      <w:r w:rsidRPr="00D03C16">
        <w:rPr>
          <w:rFonts w:cs="Arial"/>
          <w:b/>
          <w:sz w:val="28"/>
          <w:szCs w:val="28"/>
        </w:rPr>
        <w:t>R</w:t>
      </w:r>
      <w:r w:rsidR="00E6294C">
        <w:rPr>
          <w:rFonts w:cs="Arial"/>
          <w:b/>
          <w:sz w:val="28"/>
          <w:szCs w:val="28"/>
        </w:rPr>
        <w:t>1</w:t>
      </w:r>
      <w:r w:rsidR="009569CA">
        <w:rPr>
          <w:rFonts w:cs="Arial"/>
          <w:b/>
          <w:sz w:val="28"/>
          <w:szCs w:val="28"/>
        </w:rPr>
        <w:t>-</w:t>
      </w:r>
      <w:r w:rsidRPr="00D03C16">
        <w:rPr>
          <w:rFonts w:cs="Arial"/>
          <w:b/>
          <w:sz w:val="28"/>
          <w:szCs w:val="28"/>
        </w:rPr>
        <w:t>18</w:t>
      </w:r>
      <w:r w:rsidR="00364C78">
        <w:rPr>
          <w:rFonts w:cs="Arial"/>
          <w:b/>
          <w:sz w:val="28"/>
          <w:szCs w:val="28"/>
        </w:rPr>
        <w:t>1</w:t>
      </w:r>
      <w:r w:rsidR="008B489D">
        <w:rPr>
          <w:rFonts w:cs="Arial"/>
          <w:b/>
          <w:sz w:val="28"/>
          <w:szCs w:val="28"/>
        </w:rPr>
        <w:t>2868</w:t>
      </w:r>
    </w:p>
    <w:p w:rsidR="009569CA" w:rsidRPr="009569CA" w:rsidRDefault="00163D07" w:rsidP="009569CA">
      <w:pPr>
        <w:tabs>
          <w:tab w:val="center" w:pos="4536"/>
          <w:tab w:val="right" w:pos="9072"/>
        </w:tabs>
        <w:spacing w:before="0" w:after="0"/>
        <w:ind w:left="1440" w:hanging="1440"/>
        <w:jc w:val="left"/>
        <w:rPr>
          <w:rFonts w:eastAsia="MS Mincho" w:cs="Arial"/>
          <w:b/>
          <w:bCs/>
          <w:sz w:val="28"/>
          <w:szCs w:val="24"/>
          <w:lang w:val="en-GB" w:eastAsia="ja-JP"/>
        </w:rPr>
      </w:pPr>
      <w:r>
        <w:rPr>
          <w:rFonts w:eastAsia="MS Mincho" w:cs="Arial"/>
          <w:b/>
          <w:bCs/>
          <w:sz w:val="28"/>
          <w:szCs w:val="24"/>
          <w:lang w:val="en-GB" w:eastAsia="ja-JP"/>
        </w:rPr>
        <w:t>Spokane</w:t>
      </w:r>
      <w:r w:rsidR="009569CA" w:rsidRPr="009569CA">
        <w:rPr>
          <w:rFonts w:eastAsia="MS Mincho" w:cs="Arial"/>
          <w:b/>
          <w:bCs/>
          <w:sz w:val="28"/>
          <w:szCs w:val="24"/>
          <w:lang w:val="en-GB" w:eastAsia="ja-JP"/>
        </w:rPr>
        <w:t>,</w:t>
      </w:r>
      <w:r w:rsidR="007F33DD">
        <w:rPr>
          <w:rFonts w:eastAsia="MS Mincho" w:cs="Arial"/>
          <w:b/>
          <w:bCs/>
          <w:sz w:val="28"/>
          <w:szCs w:val="24"/>
          <w:lang w:val="en-GB" w:eastAsia="ja-JP"/>
        </w:rPr>
        <w:t xml:space="preserve"> USA</w:t>
      </w:r>
      <w:r>
        <w:rPr>
          <w:rFonts w:eastAsia="MS Mincho" w:cs="Arial"/>
          <w:b/>
          <w:bCs/>
          <w:sz w:val="28"/>
          <w:szCs w:val="24"/>
          <w:lang w:val="en-GB" w:eastAsia="ja-JP"/>
        </w:rPr>
        <w:t>,</w:t>
      </w:r>
      <w:r w:rsidR="007F33DD">
        <w:rPr>
          <w:rFonts w:eastAsia="MS Mincho" w:cs="Arial"/>
          <w:b/>
          <w:bCs/>
          <w:sz w:val="28"/>
          <w:szCs w:val="24"/>
          <w:lang w:val="en-GB" w:eastAsia="ja-JP"/>
        </w:rPr>
        <w:t xml:space="preserve"> November 12</w:t>
      </w:r>
      <w:r w:rsidR="009569CA" w:rsidRPr="009569CA">
        <w:rPr>
          <w:rFonts w:eastAsia="MS Mincho" w:cs="Arial"/>
          <w:b/>
          <w:bCs/>
          <w:sz w:val="28"/>
          <w:szCs w:val="24"/>
          <w:vertAlign w:val="superscript"/>
          <w:lang w:val="en-GB" w:eastAsia="ja-JP"/>
        </w:rPr>
        <w:t>th</w:t>
      </w:r>
      <w:r w:rsidR="007F33DD">
        <w:rPr>
          <w:rFonts w:eastAsia="MS Mincho" w:cs="Arial"/>
          <w:b/>
          <w:bCs/>
          <w:sz w:val="28"/>
          <w:szCs w:val="24"/>
          <w:lang w:val="en-GB" w:eastAsia="ja-JP"/>
        </w:rPr>
        <w:t xml:space="preserve"> – 16</w:t>
      </w:r>
      <w:r w:rsidR="009569CA" w:rsidRPr="009569CA">
        <w:rPr>
          <w:rFonts w:eastAsia="MS Mincho" w:cs="Arial"/>
          <w:b/>
          <w:bCs/>
          <w:sz w:val="28"/>
          <w:szCs w:val="24"/>
          <w:vertAlign w:val="superscript"/>
          <w:lang w:val="en-GB" w:eastAsia="ja-JP"/>
        </w:rPr>
        <w:t>th</w:t>
      </w:r>
      <w:r w:rsidR="009569CA" w:rsidRPr="009569CA">
        <w:rPr>
          <w:rFonts w:eastAsia="MS Mincho" w:cs="Arial"/>
          <w:b/>
          <w:bCs/>
          <w:sz w:val="28"/>
          <w:szCs w:val="24"/>
          <w:lang w:val="en-GB" w:eastAsia="ja-JP"/>
        </w:rPr>
        <w:t xml:space="preserve">, 2018 </w:t>
      </w:r>
    </w:p>
    <w:p w:rsidR="008E0EC7" w:rsidRDefault="008E0EC7" w:rsidP="008E0EC7">
      <w:pPr>
        <w:pStyle w:val="TdocHeader2"/>
        <w:pBdr>
          <w:bottom w:val="single" w:sz="6" w:space="1" w:color="auto"/>
        </w:pBdr>
        <w:spacing w:after="120"/>
        <w:ind w:firstLine="480"/>
        <w:rPr>
          <w:sz w:val="24"/>
        </w:rPr>
      </w:pPr>
    </w:p>
    <w:p w:rsidR="008E0EC7" w:rsidRDefault="008E0EC7" w:rsidP="008E0EC7">
      <w:pPr>
        <w:pStyle w:val="TdocHeader2"/>
        <w:spacing w:after="120"/>
        <w:rPr>
          <w:sz w:val="24"/>
        </w:rPr>
      </w:pPr>
      <w:r>
        <w:rPr>
          <w:sz w:val="24"/>
        </w:rPr>
        <w:t xml:space="preserve">Source: </w:t>
      </w:r>
      <w:r>
        <w:rPr>
          <w:sz w:val="24"/>
        </w:rPr>
        <w:tab/>
      </w:r>
      <w:r w:rsidRPr="00B208AD">
        <w:rPr>
          <w:sz w:val="24"/>
        </w:rPr>
        <w:t>AT&amp;T</w:t>
      </w:r>
    </w:p>
    <w:p w:rsidR="008E0EC7" w:rsidRPr="00B208AD" w:rsidRDefault="008E0EC7" w:rsidP="008E0EC7">
      <w:pPr>
        <w:pStyle w:val="TdocHeader2"/>
        <w:spacing w:after="120"/>
        <w:rPr>
          <w:sz w:val="24"/>
        </w:rPr>
      </w:pPr>
      <w:r w:rsidRPr="00B208AD">
        <w:rPr>
          <w:sz w:val="24"/>
        </w:rPr>
        <w:t>Title:</w:t>
      </w:r>
      <w:bookmarkStart w:id="1" w:name="Title"/>
      <w:bookmarkEnd w:id="1"/>
      <w:r>
        <w:rPr>
          <w:sz w:val="24"/>
        </w:rPr>
        <w:t xml:space="preserve"> </w:t>
      </w:r>
      <w:r>
        <w:rPr>
          <w:sz w:val="24"/>
        </w:rPr>
        <w:tab/>
      </w:r>
      <w:r w:rsidR="00191609">
        <w:rPr>
          <w:sz w:val="24"/>
        </w:rPr>
        <w:t>Enhancements on Multi-Beam Operation for NR</w:t>
      </w:r>
    </w:p>
    <w:p w:rsidR="008E0EC7" w:rsidRPr="00B208AD" w:rsidRDefault="008E0EC7" w:rsidP="008E0EC7">
      <w:pPr>
        <w:pStyle w:val="TdocHeader2"/>
        <w:spacing w:after="120"/>
        <w:rPr>
          <w:sz w:val="24"/>
        </w:rPr>
      </w:pPr>
      <w:r w:rsidRPr="00B208AD">
        <w:rPr>
          <w:sz w:val="24"/>
        </w:rPr>
        <w:t>Agenda Item:</w:t>
      </w:r>
      <w:r>
        <w:rPr>
          <w:bCs/>
          <w:iCs/>
          <w:sz w:val="24"/>
        </w:rPr>
        <w:t xml:space="preserve"> </w:t>
      </w:r>
      <w:r>
        <w:rPr>
          <w:bCs/>
          <w:iCs/>
          <w:sz w:val="24"/>
        </w:rPr>
        <w:tab/>
      </w:r>
      <w:r w:rsidR="00E6294C">
        <w:rPr>
          <w:bCs/>
          <w:iCs/>
          <w:sz w:val="24"/>
        </w:rPr>
        <w:t>7.2.</w:t>
      </w:r>
      <w:r w:rsidR="00191609">
        <w:rPr>
          <w:bCs/>
          <w:iCs/>
          <w:sz w:val="24"/>
        </w:rPr>
        <w:t>8</w:t>
      </w:r>
      <w:r w:rsidR="00E6294C">
        <w:rPr>
          <w:bCs/>
          <w:iCs/>
          <w:sz w:val="24"/>
        </w:rPr>
        <w:t>.</w:t>
      </w:r>
      <w:r w:rsidR="00191609">
        <w:rPr>
          <w:bCs/>
          <w:iCs/>
          <w:sz w:val="24"/>
        </w:rPr>
        <w:t>3</w:t>
      </w:r>
    </w:p>
    <w:p w:rsidR="008E0EC7" w:rsidRPr="00B208AD" w:rsidRDefault="008E0EC7" w:rsidP="008E0EC7">
      <w:pPr>
        <w:pStyle w:val="TdocHeader2"/>
        <w:spacing w:after="120"/>
        <w:rPr>
          <w:sz w:val="24"/>
        </w:rPr>
      </w:pPr>
      <w:r w:rsidRPr="00B208AD">
        <w:rPr>
          <w:sz w:val="24"/>
        </w:rPr>
        <w:t>Document for: Discussion</w:t>
      </w:r>
      <w:r>
        <w:rPr>
          <w:sz w:val="24"/>
        </w:rPr>
        <w:t xml:space="preserve"> and Decision</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A new work item on MIMO enhancements for NR was approved in RAN#8</w:t>
      </w:r>
      <w:r w:rsidR="004D6C83">
        <w:rPr>
          <w:rFonts w:ascii="Calibri" w:hAnsi="Calibri" w:cs="Calibri"/>
          <w:sz w:val="22"/>
          <w:szCs w:val="22"/>
        </w:rPr>
        <w:t>0</w:t>
      </w:r>
      <w:r w:rsidRPr="000F370A">
        <w:rPr>
          <w:rFonts w:ascii="Calibri" w:hAnsi="Calibri" w:cs="Calibri"/>
          <w:sz w:val="22"/>
          <w:szCs w:val="22"/>
        </w:rPr>
        <w:t xml:space="preserve">,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2"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a beam failure recovery for SCell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2"/>
    <w:p w:rsidR="00D90242" w:rsidRDefault="00D90242" w:rsidP="008B1BFE">
      <w:pPr>
        <w:spacing w:after="60" w:line="288" w:lineRule="auto"/>
        <w:rPr>
          <w:rFonts w:ascii="Calibri" w:hAnsi="Calibri" w:cs="Calibri"/>
          <w:sz w:val="22"/>
          <w:szCs w:val="22"/>
        </w:rPr>
      </w:pPr>
    </w:p>
    <w:p w:rsidR="007F33DD" w:rsidRDefault="007F33DD" w:rsidP="008B1BFE">
      <w:pPr>
        <w:spacing w:after="60" w:line="288" w:lineRule="auto"/>
        <w:rPr>
          <w:rFonts w:ascii="Calibri" w:hAnsi="Calibri" w:cs="Calibri"/>
          <w:sz w:val="22"/>
          <w:szCs w:val="22"/>
        </w:rPr>
      </w:pPr>
      <w:r>
        <w:rPr>
          <w:rFonts w:ascii="Calibri" w:hAnsi="Calibri" w:cs="Calibri"/>
          <w:sz w:val="22"/>
          <w:szCs w:val="22"/>
        </w:rPr>
        <w:t>In RAN1#94b, the following progress has been made on enhancements for multi-beam operation</w:t>
      </w:r>
      <w:r w:rsidR="006E2710">
        <w:rPr>
          <w:rFonts w:ascii="Calibri" w:hAnsi="Calibri" w:cs="Calibri"/>
          <w:sz w:val="22"/>
          <w:szCs w:val="22"/>
        </w:rPr>
        <w:t xml:space="preserve"> [1]</w:t>
      </w:r>
      <w:r>
        <w:rPr>
          <w:rFonts w:ascii="Calibri" w:hAnsi="Calibri" w:cs="Calibri"/>
          <w:sz w:val="22"/>
          <w:szCs w:val="22"/>
        </w:rPr>
        <w:t>, in addition to agreements on LLS and SLS evaluation assumptions.</w:t>
      </w:r>
    </w:p>
    <w:p w:rsidR="007F33DD" w:rsidRDefault="007F33DD" w:rsidP="008B1BFE">
      <w:pPr>
        <w:spacing w:after="60" w:line="288" w:lineRule="auto"/>
        <w:rPr>
          <w:rFonts w:ascii="Calibri" w:hAnsi="Calibri" w:cs="Calibri"/>
          <w:sz w:val="22"/>
          <w:szCs w:val="22"/>
        </w:rPr>
      </w:pPr>
    </w:p>
    <w:p w:rsidR="007F33DD" w:rsidRPr="009E4609" w:rsidRDefault="007F33DD" w:rsidP="007F33DD">
      <w:pPr>
        <w:pStyle w:val="LGTdoc"/>
        <w:spacing w:afterLines="0" w:line="240" w:lineRule="auto"/>
        <w:rPr>
          <w:b/>
          <w:sz w:val="20"/>
          <w:szCs w:val="22"/>
        </w:rPr>
      </w:pPr>
      <w:r w:rsidRPr="009E4609">
        <w:rPr>
          <w:b/>
          <w:sz w:val="20"/>
          <w:szCs w:val="22"/>
        </w:rPr>
        <w:t>For next meeting:</w:t>
      </w:r>
    </w:p>
    <w:p w:rsidR="007F33DD" w:rsidRPr="00950E93" w:rsidRDefault="007F33DD" w:rsidP="007F33DD">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rsidR="007F33DD" w:rsidRPr="00950E93" w:rsidRDefault="007F33DD" w:rsidP="007F33DD">
      <w:pPr>
        <w:pStyle w:val="LGTdoc"/>
        <w:numPr>
          <w:ilvl w:val="0"/>
          <w:numId w:val="16"/>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rsidR="007F33DD" w:rsidRPr="00950E93" w:rsidRDefault="007F33DD" w:rsidP="007F33DD">
      <w:pPr>
        <w:pStyle w:val="LGTdoc"/>
        <w:numPr>
          <w:ilvl w:val="0"/>
          <w:numId w:val="16"/>
        </w:numPr>
        <w:spacing w:afterLines="0" w:line="240" w:lineRule="auto"/>
        <w:rPr>
          <w:sz w:val="20"/>
          <w:szCs w:val="22"/>
        </w:rPr>
      </w:pPr>
      <w:r w:rsidRPr="00950E93">
        <w:rPr>
          <w:sz w:val="20"/>
          <w:szCs w:val="22"/>
        </w:rPr>
        <w:t>FFS on relation to TPMI/TRI fields, PC/TA mechanisms</w:t>
      </w:r>
    </w:p>
    <w:p w:rsidR="007F33DD" w:rsidRPr="00950E93" w:rsidRDefault="007F33DD" w:rsidP="007F33DD">
      <w:pPr>
        <w:pStyle w:val="LGTdoc"/>
        <w:numPr>
          <w:ilvl w:val="0"/>
          <w:numId w:val="16"/>
        </w:numPr>
        <w:spacing w:afterLines="0" w:line="240" w:lineRule="auto"/>
        <w:rPr>
          <w:sz w:val="20"/>
          <w:szCs w:val="22"/>
        </w:rPr>
      </w:pPr>
      <w:r w:rsidRPr="00950E93">
        <w:rPr>
          <w:sz w:val="20"/>
          <w:szCs w:val="22"/>
        </w:rPr>
        <w:t>Companies to consider specification implications of multiple UL Tx panel/beam support</w:t>
      </w:r>
    </w:p>
    <w:p w:rsidR="007F33DD" w:rsidRDefault="007F33DD" w:rsidP="008B1BFE">
      <w:pPr>
        <w:spacing w:after="60" w:line="288" w:lineRule="auto"/>
        <w:rPr>
          <w:rFonts w:ascii="Calibri" w:hAnsi="Calibri" w:cs="Calibri"/>
          <w:sz w:val="22"/>
          <w:szCs w:val="22"/>
        </w:rPr>
      </w:pPr>
    </w:p>
    <w:p w:rsidR="007F33DD" w:rsidRPr="00AB7202" w:rsidRDefault="007F33DD" w:rsidP="007F33DD">
      <w:pPr>
        <w:pStyle w:val="LGTdoc"/>
        <w:spacing w:afterLines="0" w:line="240" w:lineRule="auto"/>
        <w:rPr>
          <w:b/>
          <w:sz w:val="20"/>
          <w:szCs w:val="22"/>
          <w:highlight w:val="green"/>
        </w:rPr>
      </w:pPr>
      <w:r w:rsidRPr="00AB7202">
        <w:rPr>
          <w:b/>
          <w:sz w:val="20"/>
          <w:szCs w:val="22"/>
          <w:highlight w:val="green"/>
        </w:rPr>
        <w:t>Agreement</w:t>
      </w:r>
    </w:p>
    <w:p w:rsidR="007F33DD" w:rsidRPr="00931EBB" w:rsidRDefault="007F33DD" w:rsidP="007F33DD">
      <w:pPr>
        <w:pStyle w:val="ListParagraph"/>
        <w:numPr>
          <w:ilvl w:val="0"/>
          <w:numId w:val="17"/>
        </w:numPr>
        <w:spacing w:before="0" w:after="0"/>
        <w:contextualSpacing w:val="0"/>
        <w:rPr>
          <w:rFonts w:ascii="Times New Roman" w:hAnsi="Times New Roman"/>
        </w:rPr>
      </w:pPr>
      <w:r w:rsidRPr="00931EBB">
        <w:rPr>
          <w:rFonts w:ascii="Times New Roman" w:hAnsi="Times New Roman"/>
        </w:rPr>
        <w:t>L1-SINR is supported. L1-RSRQ is not supported.</w:t>
      </w:r>
    </w:p>
    <w:p w:rsidR="007F33DD" w:rsidRPr="00931EBB" w:rsidRDefault="007F33DD" w:rsidP="007F33DD">
      <w:pPr>
        <w:pStyle w:val="ListParagraph"/>
        <w:numPr>
          <w:ilvl w:val="1"/>
          <w:numId w:val="17"/>
        </w:numPr>
        <w:spacing w:before="0" w:after="0"/>
        <w:contextualSpacing w:val="0"/>
        <w:rPr>
          <w:rFonts w:ascii="Times New Roman" w:hAnsi="Times New Roman"/>
        </w:rPr>
      </w:pPr>
      <w:r w:rsidRPr="00931EBB">
        <w:rPr>
          <w:rFonts w:ascii="Times New Roman" w:hAnsi="Times New Roman"/>
        </w:rPr>
        <w:t>Companies to study and provide definition of L1-SINR</w:t>
      </w:r>
    </w:p>
    <w:p w:rsidR="007F33DD" w:rsidRPr="00931EBB" w:rsidRDefault="007F33DD" w:rsidP="007F33DD">
      <w:pPr>
        <w:pStyle w:val="ListParagraph"/>
        <w:numPr>
          <w:ilvl w:val="0"/>
          <w:numId w:val="17"/>
        </w:numPr>
        <w:spacing w:before="0" w:after="0"/>
        <w:contextualSpacing w:val="0"/>
        <w:rPr>
          <w:rFonts w:ascii="Times New Roman" w:hAnsi="Times New Roman"/>
        </w:rPr>
      </w:pPr>
      <w:r w:rsidRPr="00931EBB">
        <w:rPr>
          <w:rFonts w:ascii="Times New Roman" w:hAnsi="Times New Roman"/>
        </w:rPr>
        <w:t>Study the reporting content, e.g.</w:t>
      </w:r>
    </w:p>
    <w:p w:rsidR="007F33DD" w:rsidRPr="00931EBB" w:rsidRDefault="007F33DD" w:rsidP="007F33DD">
      <w:pPr>
        <w:pStyle w:val="ListParagraph"/>
        <w:numPr>
          <w:ilvl w:val="1"/>
          <w:numId w:val="17"/>
        </w:numPr>
        <w:spacing w:before="0" w:after="0"/>
        <w:contextualSpacing w:val="0"/>
        <w:rPr>
          <w:rFonts w:ascii="Times New Roman" w:hAnsi="Times New Roman"/>
        </w:rPr>
      </w:pPr>
      <w:r w:rsidRPr="00931EBB">
        <w:rPr>
          <w:rFonts w:ascii="Times New Roman" w:hAnsi="Times New Roman"/>
        </w:rPr>
        <w:t>Whether CRI/SSBRI is reported</w:t>
      </w:r>
    </w:p>
    <w:p w:rsidR="007F33DD" w:rsidRPr="00931EBB" w:rsidRDefault="007F33DD" w:rsidP="007F33DD">
      <w:pPr>
        <w:pStyle w:val="ListParagraph"/>
        <w:numPr>
          <w:ilvl w:val="1"/>
          <w:numId w:val="17"/>
        </w:numPr>
        <w:spacing w:before="0" w:after="0"/>
        <w:contextualSpacing w:val="0"/>
        <w:rPr>
          <w:rFonts w:ascii="Times New Roman" w:hAnsi="Times New Roman"/>
        </w:rPr>
      </w:pPr>
      <w:r w:rsidRPr="00931EBB">
        <w:rPr>
          <w:rFonts w:ascii="Times New Roman" w:hAnsi="Times New Roman"/>
        </w:rPr>
        <w:t>Whether differential group/non-group reporting is applied</w:t>
      </w:r>
    </w:p>
    <w:p w:rsidR="007F33DD" w:rsidRPr="00931EBB" w:rsidRDefault="007F33DD" w:rsidP="007F33DD">
      <w:pPr>
        <w:pStyle w:val="ListParagraph"/>
        <w:numPr>
          <w:ilvl w:val="1"/>
          <w:numId w:val="17"/>
        </w:numPr>
        <w:spacing w:before="0" w:after="0"/>
        <w:contextualSpacing w:val="0"/>
        <w:rPr>
          <w:rFonts w:ascii="Times New Roman" w:hAnsi="Times New Roman"/>
        </w:rPr>
      </w:pPr>
      <w:r w:rsidRPr="00931EBB">
        <w:rPr>
          <w:rFonts w:ascii="Times New Roman" w:hAnsi="Times New Roman"/>
        </w:rPr>
        <w:t>Whether L1-RSRP is reported</w:t>
      </w:r>
    </w:p>
    <w:p w:rsidR="007F33DD" w:rsidRPr="00931EBB" w:rsidRDefault="007F33DD" w:rsidP="007F33DD">
      <w:pPr>
        <w:pStyle w:val="ListParagraph"/>
        <w:numPr>
          <w:ilvl w:val="0"/>
          <w:numId w:val="17"/>
        </w:numPr>
        <w:spacing w:before="0" w:after="0"/>
        <w:contextualSpacing w:val="0"/>
        <w:rPr>
          <w:rFonts w:ascii="Times New Roman" w:hAnsi="Times New Roman"/>
        </w:rPr>
      </w:pPr>
      <w:r w:rsidRPr="00931EBB">
        <w:rPr>
          <w:rFonts w:ascii="Times New Roman" w:hAnsi="Times New Roman"/>
        </w:rPr>
        <w:t>Study the interference measurement mechanism</w:t>
      </w:r>
    </w:p>
    <w:p w:rsidR="007F33DD" w:rsidRDefault="007F33DD" w:rsidP="008B1BFE">
      <w:pPr>
        <w:spacing w:after="60" w:line="288" w:lineRule="auto"/>
        <w:rPr>
          <w:rFonts w:ascii="Calibri" w:hAnsi="Calibri" w:cs="Calibri"/>
          <w:sz w:val="22"/>
          <w:szCs w:val="22"/>
        </w:rPr>
      </w:pPr>
    </w:p>
    <w:p w:rsidR="007F33DD" w:rsidRPr="000F370A" w:rsidRDefault="007F33DD" w:rsidP="008B1BFE">
      <w:pPr>
        <w:spacing w:after="60" w:line="288" w:lineRule="auto"/>
        <w:rPr>
          <w:rFonts w:ascii="Calibri" w:hAnsi="Calibri" w:cs="Calibri"/>
          <w:sz w:val="22"/>
          <w:szCs w:val="22"/>
        </w:rPr>
      </w:pPr>
    </w:p>
    <w:p w:rsidR="00D90242" w:rsidRPr="000F370A" w:rsidRDefault="00D90242" w:rsidP="008B1BFE">
      <w:pPr>
        <w:spacing w:after="60" w:line="288" w:lineRule="auto"/>
        <w:rPr>
          <w:rFonts w:ascii="Calibri" w:hAnsi="Calibri" w:cs="Calibri"/>
          <w:sz w:val="22"/>
          <w:szCs w:val="22"/>
        </w:rPr>
      </w:pPr>
      <w:r w:rsidRPr="000F370A">
        <w:rPr>
          <w:rFonts w:ascii="Calibri" w:hAnsi="Calibri" w:cs="Calibri"/>
          <w:sz w:val="22"/>
          <w:szCs w:val="22"/>
        </w:rPr>
        <w:t xml:space="preserve">In this document, we discuss </w:t>
      </w:r>
      <w:r w:rsidR="007F33DD">
        <w:rPr>
          <w:rFonts w:ascii="Calibri" w:hAnsi="Calibri" w:cs="Calibri"/>
          <w:sz w:val="22"/>
          <w:szCs w:val="22"/>
        </w:rPr>
        <w:t>mechanisms to support multiple</w:t>
      </w:r>
      <w:r w:rsidR="00FF2663">
        <w:rPr>
          <w:rFonts w:ascii="Calibri" w:hAnsi="Calibri" w:cs="Calibri"/>
          <w:sz w:val="22"/>
          <w:szCs w:val="22"/>
        </w:rPr>
        <w:t xml:space="preserve"> UE panel/beam indication. </w:t>
      </w:r>
      <w:r w:rsidR="007F33DD">
        <w:rPr>
          <w:rFonts w:ascii="Calibri" w:hAnsi="Calibri" w:cs="Calibri"/>
          <w:sz w:val="22"/>
          <w:szCs w:val="22"/>
        </w:rPr>
        <w:t>We further propose interference measureme</w:t>
      </w:r>
      <w:r w:rsidR="00B02162">
        <w:rPr>
          <w:rFonts w:ascii="Calibri" w:hAnsi="Calibri" w:cs="Calibri"/>
          <w:sz w:val="22"/>
          <w:szCs w:val="22"/>
        </w:rPr>
        <w:t xml:space="preserve">nt mechanism for L1-SINR report, and requirements for BFR on SCell. </w:t>
      </w:r>
    </w:p>
    <w:p w:rsidR="007F33DD" w:rsidRDefault="007F33DD" w:rsidP="003D363D">
      <w:pPr>
        <w:pStyle w:val="Heading1"/>
        <w:rPr>
          <w:lang w:eastAsia="ja-JP"/>
        </w:rPr>
      </w:pPr>
      <w:r>
        <w:rPr>
          <w:lang w:eastAsia="ja-JP"/>
        </w:rPr>
        <w:lastRenderedPageBreak/>
        <w:t>Multiple UL Tx Panel/Beam Indication</w:t>
      </w:r>
    </w:p>
    <w:p w:rsidR="007F33DD" w:rsidRPr="009B1079" w:rsidRDefault="00644AA9" w:rsidP="009B1079">
      <w:pPr>
        <w:spacing w:line="288" w:lineRule="auto"/>
        <w:rPr>
          <w:rFonts w:asciiTheme="minorHAnsi" w:eastAsia="MS Mincho" w:hAnsiTheme="minorHAnsi" w:cstheme="minorHAnsi"/>
          <w:sz w:val="22"/>
        </w:rPr>
      </w:pPr>
      <w:r w:rsidRPr="009B1079">
        <w:rPr>
          <w:rFonts w:asciiTheme="minorHAnsi" w:eastAsia="MS Mincho" w:hAnsiTheme="minorHAnsi" w:cstheme="minorHAnsi"/>
          <w:sz w:val="22"/>
        </w:rPr>
        <w:t>When the UE operates in FR2, it is expected to have two or more antenna panels, to provide spherical coverage, and overcome the adverse effects of blocking. For receiver beam switching, switching antenna panels has the same effect as switching beams within a panel, except that antenna panel switching requires a larger processing time than switching beams within a panel. The larger processing time due to switching panels, can be in excess of 20 slots, and may occur because of powering the antenna panel on/off for energy savings.</w:t>
      </w:r>
      <w:r w:rsidR="009B1079">
        <w:rPr>
          <w:rFonts w:asciiTheme="minorHAnsi" w:eastAsia="MS Mincho" w:hAnsiTheme="minorHAnsi" w:cstheme="minorHAnsi"/>
          <w:sz w:val="22"/>
        </w:rPr>
        <w:t xml:space="preserve"> </w:t>
      </w:r>
      <w:r w:rsidR="000A7E7A">
        <w:rPr>
          <w:rFonts w:asciiTheme="minorHAnsi" w:eastAsia="MS Mincho" w:hAnsiTheme="minorHAnsi" w:cstheme="minorHAnsi"/>
          <w:sz w:val="22"/>
        </w:rPr>
        <w:t>Furthermore, it is important for the UE to be able to transmit and/or receive on multiple panels simultaneously. The details of beam management at the UE are, however, generally unknown to the network.</w:t>
      </w:r>
    </w:p>
    <w:p w:rsidR="000A7E7A" w:rsidRPr="007F0B01" w:rsidRDefault="00D82246" w:rsidP="00D82246">
      <w:pPr>
        <w:spacing w:line="288" w:lineRule="auto"/>
        <w:rPr>
          <w:rFonts w:asciiTheme="minorHAnsi" w:eastAsia="MS Mincho" w:hAnsiTheme="minorHAnsi" w:cstheme="minorHAnsi"/>
          <w:sz w:val="22"/>
          <w:szCs w:val="22"/>
        </w:rPr>
      </w:pPr>
      <w:r w:rsidRPr="00D82246">
        <w:rPr>
          <w:rFonts w:asciiTheme="minorHAnsi" w:eastAsia="MS Mincho" w:hAnsiTheme="minorHAnsi" w:cstheme="minorHAnsi"/>
          <w:sz w:val="22"/>
          <w:szCs w:val="22"/>
        </w:rPr>
        <w:t>For UL beam management, and for DL Rx beam selection, the ability to indicate the selected panel</w:t>
      </w:r>
      <w:r>
        <w:rPr>
          <w:rFonts w:asciiTheme="minorHAnsi" w:eastAsia="MS Mincho" w:hAnsiTheme="minorHAnsi" w:cstheme="minorHAnsi"/>
          <w:sz w:val="22"/>
          <w:szCs w:val="22"/>
        </w:rPr>
        <w:t>(s)</w:t>
      </w:r>
      <w:r w:rsidRPr="00D82246">
        <w:rPr>
          <w:rFonts w:asciiTheme="minorHAnsi" w:eastAsia="MS Mincho" w:hAnsiTheme="minorHAnsi" w:cstheme="minorHAnsi"/>
          <w:sz w:val="22"/>
          <w:szCs w:val="22"/>
        </w:rPr>
        <w:t xml:space="preserve"> for transmission and or reception from the UE to the network is important. </w:t>
      </w:r>
      <w:r>
        <w:rPr>
          <w:rFonts w:asciiTheme="minorHAnsi" w:eastAsia="MS Mincho" w:hAnsiTheme="minorHAnsi" w:cstheme="minorHAnsi"/>
          <w:sz w:val="22"/>
          <w:szCs w:val="22"/>
        </w:rPr>
        <w:t>In fact, i</w:t>
      </w:r>
      <w:r w:rsidRPr="00D82246">
        <w:rPr>
          <w:rFonts w:asciiTheme="minorHAnsi" w:eastAsia="MS Mincho" w:hAnsiTheme="minorHAnsi" w:cstheme="minorHAnsi"/>
          <w:sz w:val="22"/>
          <w:szCs w:val="22"/>
        </w:rPr>
        <w:t>ndicating the group of beams for UL beam management or for DL Rx beam selection</w:t>
      </w:r>
      <w:r w:rsidR="007F0B01">
        <w:rPr>
          <w:rFonts w:asciiTheme="minorHAnsi" w:eastAsia="MS Mincho" w:hAnsiTheme="minorHAnsi" w:cstheme="minorHAnsi"/>
          <w:sz w:val="22"/>
          <w:szCs w:val="22"/>
        </w:rPr>
        <w:t>, where the group of beams can correspond to one or multiple panels,</w:t>
      </w:r>
      <w:r w:rsidRPr="00D82246">
        <w:rPr>
          <w:rFonts w:asciiTheme="minorHAnsi" w:eastAsia="MS Mincho" w:hAnsiTheme="minorHAnsi" w:cstheme="minorHAnsi"/>
          <w:sz w:val="22"/>
          <w:szCs w:val="22"/>
        </w:rPr>
        <w:t xml:space="preserve"> improves the efficiency and reduces the overhead of the beam management procedure. </w:t>
      </w:r>
      <w:r w:rsidR="000A7E7A">
        <w:rPr>
          <w:rFonts w:asciiTheme="minorHAnsi" w:eastAsia="MS Mincho" w:hAnsiTheme="minorHAnsi" w:cstheme="minorHAnsi"/>
          <w:sz w:val="22"/>
          <w:szCs w:val="22"/>
        </w:rPr>
        <w:t>This becomes crucial in applications such as IAB with large number of beams expected at the MT, or V2X with multiple antenna panels at the vehicular nodes.</w:t>
      </w:r>
    </w:p>
    <w:p w:rsidR="000751B1" w:rsidRDefault="00D82246" w:rsidP="000A7E7A">
      <w:pPr>
        <w:rPr>
          <w:rFonts w:asciiTheme="minorHAnsi" w:eastAsia="MS Mincho" w:hAnsiTheme="minorHAnsi" w:cstheme="minorHAnsi"/>
          <w:b/>
          <w:sz w:val="22"/>
          <w:szCs w:val="22"/>
        </w:rPr>
      </w:pPr>
      <w:r w:rsidRPr="007F0B01">
        <w:rPr>
          <w:rFonts w:asciiTheme="minorHAnsi" w:eastAsia="MS Mincho" w:hAnsiTheme="minorHAnsi" w:cstheme="minorHAnsi"/>
          <w:b/>
          <w:sz w:val="22"/>
          <w:szCs w:val="22"/>
        </w:rPr>
        <w:t xml:space="preserve">Proposal 1:  </w:t>
      </w:r>
      <w:r w:rsidR="000A7E7A">
        <w:rPr>
          <w:rFonts w:asciiTheme="minorHAnsi" w:eastAsia="MS Mincho" w:hAnsiTheme="minorHAnsi" w:cstheme="minorHAnsi"/>
          <w:b/>
          <w:sz w:val="22"/>
          <w:szCs w:val="22"/>
        </w:rPr>
        <w:t>An i</w:t>
      </w:r>
      <w:r w:rsidRPr="007F0B01">
        <w:rPr>
          <w:rFonts w:asciiTheme="minorHAnsi" w:eastAsia="MS Mincho" w:hAnsiTheme="minorHAnsi" w:cstheme="minorHAnsi"/>
          <w:b/>
          <w:sz w:val="22"/>
          <w:szCs w:val="22"/>
        </w:rPr>
        <w:t xml:space="preserve">ndication of </w:t>
      </w:r>
      <w:r w:rsidR="00245D2A">
        <w:rPr>
          <w:rFonts w:asciiTheme="minorHAnsi" w:eastAsia="MS Mincho" w:hAnsiTheme="minorHAnsi" w:cstheme="minorHAnsi"/>
          <w:b/>
          <w:sz w:val="22"/>
          <w:szCs w:val="22"/>
        </w:rPr>
        <w:t>beam grouping</w:t>
      </w:r>
      <w:r w:rsidRPr="007F0B01">
        <w:rPr>
          <w:rFonts w:asciiTheme="minorHAnsi" w:eastAsia="MS Mincho" w:hAnsiTheme="minorHAnsi" w:cstheme="minorHAnsi"/>
          <w:b/>
          <w:sz w:val="22"/>
          <w:szCs w:val="22"/>
        </w:rPr>
        <w:t xml:space="preserve"> at the UE</w:t>
      </w:r>
      <w:r w:rsidR="007F0B01">
        <w:rPr>
          <w:rFonts w:asciiTheme="minorHAnsi" w:eastAsia="MS Mincho" w:hAnsiTheme="minorHAnsi" w:cstheme="minorHAnsi"/>
          <w:b/>
          <w:sz w:val="22"/>
          <w:szCs w:val="22"/>
        </w:rPr>
        <w:t>, e.g. selected panel(s),</w:t>
      </w:r>
      <w:r w:rsidRPr="007F0B01">
        <w:rPr>
          <w:rFonts w:asciiTheme="minorHAnsi" w:eastAsia="MS Mincho" w:hAnsiTheme="minorHAnsi" w:cstheme="minorHAnsi"/>
          <w:b/>
          <w:sz w:val="22"/>
          <w:szCs w:val="22"/>
        </w:rPr>
        <w:t xml:space="preserve"> should be supported </w:t>
      </w:r>
    </w:p>
    <w:p w:rsidR="000A7E7A" w:rsidRPr="000A7E7A" w:rsidRDefault="000A7E7A" w:rsidP="000A7E7A">
      <w:pPr>
        <w:rPr>
          <w:rFonts w:asciiTheme="minorHAnsi" w:eastAsia="MS Mincho" w:hAnsiTheme="minorHAnsi" w:cstheme="minorHAnsi"/>
          <w:b/>
          <w:sz w:val="22"/>
          <w:szCs w:val="22"/>
        </w:rPr>
      </w:pPr>
    </w:p>
    <w:p w:rsidR="00B449B6" w:rsidRDefault="00686F8A" w:rsidP="003D363D">
      <w:pPr>
        <w:pStyle w:val="Heading1"/>
      </w:pPr>
      <w:r>
        <w:t>Measurement and Reporting with Interference Measurement</w:t>
      </w:r>
    </w:p>
    <w:p w:rsidR="00865E9E" w:rsidRPr="000F370A" w:rsidRDefault="00257B32" w:rsidP="00257B32">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In the current beam management procedure, a UE is configured with one resource setting such that this resource setting is used for channel measurement for L1-RSRP computation. For this resource setting, </w:t>
      </w:r>
      <w:r w:rsidR="00686F8A" w:rsidRPr="000F370A">
        <w:rPr>
          <w:rFonts w:asciiTheme="minorHAnsi" w:hAnsiTheme="minorHAnsi" w:cstheme="minorHAnsi"/>
          <w:sz w:val="22"/>
          <w:szCs w:val="22"/>
        </w:rPr>
        <w:t xml:space="preserve">to train Tx beam, the UE is configured with a higher layer parameter repetition set to ‘off’; </w:t>
      </w:r>
      <w:r w:rsidRPr="000F370A">
        <w:rPr>
          <w:rFonts w:asciiTheme="minorHAnsi" w:hAnsiTheme="minorHAnsi" w:cstheme="minorHAnsi"/>
          <w:sz w:val="22"/>
          <w:szCs w:val="22"/>
        </w:rPr>
        <w:t xml:space="preserve">to train receive beams, the UE is configured with a higher layer parameter repetition set to ‘on’. </w:t>
      </w:r>
      <w:r w:rsidR="00686F8A" w:rsidRPr="000F370A">
        <w:rPr>
          <w:rFonts w:asciiTheme="minorHAnsi" w:hAnsiTheme="minorHAnsi" w:cstheme="minorHAnsi"/>
          <w:sz w:val="22"/>
          <w:szCs w:val="22"/>
        </w:rPr>
        <w:t>When repetition is set to ‘off’, a CRI-RSRP report is configured, w</w:t>
      </w:r>
      <w:r w:rsidRPr="000F370A">
        <w:rPr>
          <w:rFonts w:asciiTheme="minorHAnsi" w:hAnsiTheme="minorHAnsi" w:cstheme="minorHAnsi"/>
          <w:sz w:val="22"/>
          <w:szCs w:val="22"/>
        </w:rPr>
        <w:t xml:space="preserve">hen repetition is set to ‘on’, no CRI report is configured. </w:t>
      </w:r>
    </w:p>
    <w:p w:rsidR="007F0B01" w:rsidRDefault="000A7E7A" w:rsidP="00257B32">
      <w:pPr>
        <w:spacing w:line="288" w:lineRule="auto"/>
        <w:rPr>
          <w:rFonts w:asciiTheme="minorHAnsi" w:hAnsiTheme="minorHAnsi" w:cstheme="minorHAnsi"/>
          <w:sz w:val="22"/>
          <w:szCs w:val="22"/>
        </w:rPr>
      </w:pPr>
      <w:r>
        <w:rPr>
          <w:rFonts w:asciiTheme="minorHAnsi" w:hAnsiTheme="minorHAnsi" w:cstheme="minorHAnsi"/>
          <w:sz w:val="22"/>
          <w:szCs w:val="22"/>
        </w:rPr>
        <w:t>In addition to beam measurement and reporting based on L1-RSRP, b</w:t>
      </w:r>
      <w:r w:rsidR="00257B32" w:rsidRPr="000F370A">
        <w:rPr>
          <w:rFonts w:asciiTheme="minorHAnsi" w:hAnsiTheme="minorHAnsi" w:cstheme="minorHAnsi"/>
          <w:sz w:val="22"/>
          <w:szCs w:val="22"/>
        </w:rPr>
        <w:t xml:space="preserve">eam measurement and reporting based on </w:t>
      </w:r>
      <w:r w:rsidR="007F0B01">
        <w:rPr>
          <w:rFonts w:asciiTheme="minorHAnsi" w:hAnsiTheme="minorHAnsi" w:cstheme="minorHAnsi"/>
          <w:sz w:val="22"/>
          <w:szCs w:val="22"/>
        </w:rPr>
        <w:t>L1-SINR has been agreed in RAN1#94b</w:t>
      </w:r>
    </w:p>
    <w:p w:rsidR="007F0B01" w:rsidRPr="00AB7202" w:rsidRDefault="007F0B01" w:rsidP="007F0B01">
      <w:pPr>
        <w:pStyle w:val="LGTdoc"/>
        <w:spacing w:afterLines="0" w:line="240" w:lineRule="auto"/>
        <w:rPr>
          <w:b/>
          <w:sz w:val="20"/>
          <w:szCs w:val="22"/>
          <w:highlight w:val="green"/>
        </w:rPr>
      </w:pPr>
      <w:r w:rsidRPr="00AB7202">
        <w:rPr>
          <w:b/>
          <w:sz w:val="20"/>
          <w:szCs w:val="22"/>
          <w:highlight w:val="green"/>
        </w:rPr>
        <w:t>Agreement</w:t>
      </w:r>
    </w:p>
    <w:p w:rsidR="007F0B01" w:rsidRPr="00931EBB" w:rsidRDefault="007F0B01" w:rsidP="007F0B01">
      <w:pPr>
        <w:pStyle w:val="ListParagraph"/>
        <w:numPr>
          <w:ilvl w:val="0"/>
          <w:numId w:val="17"/>
        </w:numPr>
        <w:spacing w:before="0" w:after="0"/>
        <w:contextualSpacing w:val="0"/>
        <w:rPr>
          <w:rFonts w:ascii="Times New Roman" w:hAnsi="Times New Roman"/>
        </w:rPr>
      </w:pPr>
      <w:r w:rsidRPr="00931EBB">
        <w:rPr>
          <w:rFonts w:ascii="Times New Roman" w:hAnsi="Times New Roman"/>
        </w:rPr>
        <w:t>L1-SINR is supported. L1-RSRQ is not supported.</w:t>
      </w:r>
    </w:p>
    <w:p w:rsidR="007F0B01" w:rsidRDefault="007F0B01" w:rsidP="00AC47D9">
      <w:pPr>
        <w:pStyle w:val="ListParagraph"/>
        <w:numPr>
          <w:ilvl w:val="1"/>
          <w:numId w:val="17"/>
        </w:numPr>
        <w:spacing w:before="0" w:after="0"/>
        <w:contextualSpacing w:val="0"/>
        <w:rPr>
          <w:rFonts w:ascii="Times New Roman" w:hAnsi="Times New Roman"/>
        </w:rPr>
      </w:pPr>
      <w:r w:rsidRPr="00931EBB">
        <w:rPr>
          <w:rFonts w:ascii="Times New Roman" w:hAnsi="Times New Roman"/>
        </w:rPr>
        <w:t>Companies to study and provide definition of L1-SINR</w:t>
      </w:r>
    </w:p>
    <w:p w:rsidR="00AC47D9" w:rsidRPr="00AC47D9" w:rsidRDefault="00AC47D9" w:rsidP="00AC47D9">
      <w:pPr>
        <w:pStyle w:val="ListParagraph"/>
        <w:spacing w:before="0" w:after="0"/>
        <w:ind w:left="1724"/>
        <w:contextualSpacing w:val="0"/>
        <w:rPr>
          <w:rFonts w:ascii="Times New Roman" w:hAnsi="Times New Roman"/>
        </w:rPr>
      </w:pPr>
    </w:p>
    <w:p w:rsidR="00670217" w:rsidRPr="000F370A" w:rsidRDefault="00A27277"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To include an interference measurement in the beam management report, in addition to</w:t>
      </w:r>
      <w:r w:rsidR="00AC47D9">
        <w:rPr>
          <w:rFonts w:asciiTheme="minorHAnsi" w:hAnsiTheme="minorHAnsi" w:cstheme="minorHAnsi"/>
          <w:sz w:val="22"/>
          <w:szCs w:val="22"/>
        </w:rPr>
        <w:t xml:space="preserve"> </w:t>
      </w:r>
      <w:r w:rsidRPr="000F370A">
        <w:rPr>
          <w:rFonts w:asciiTheme="minorHAnsi" w:hAnsiTheme="minorHAnsi" w:cstheme="minorHAnsi"/>
          <w:sz w:val="22"/>
          <w:szCs w:val="22"/>
        </w:rPr>
        <w:t xml:space="preserve"> channel measurement, the resource setting defined for beam management can include CSI-RS-resource sets configured for channel measurement as well as interference measurement performed on CSI-IM or on NZP-CSI-RS. For this resource setting, the UE can be configured with multiple report settings, such that the network may configure a report setting with CSI-RS resources corresponding to a strong interference source, while another report setting can be configured without a strong interference source. UE can select the transmit and receive beams independently for each of the report settings. </w:t>
      </w:r>
    </w:p>
    <w:p w:rsidR="00BC2E6A" w:rsidRPr="000F370A" w:rsidRDefault="00A27277"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One can also define an additional resource setting for beam management, in addition to the one resource setting currently defined in NR Rel. 15</w:t>
      </w:r>
      <w:r w:rsidR="00AD1799" w:rsidRPr="000F370A">
        <w:rPr>
          <w:rFonts w:asciiTheme="minorHAnsi" w:hAnsiTheme="minorHAnsi" w:cstheme="minorHAnsi"/>
          <w:sz w:val="22"/>
          <w:szCs w:val="22"/>
        </w:rPr>
        <w:t xml:space="preserve"> for the beam management procedure</w:t>
      </w:r>
      <w:r w:rsidRPr="000F370A">
        <w:rPr>
          <w:rFonts w:asciiTheme="minorHAnsi" w:hAnsiTheme="minorHAnsi" w:cstheme="minorHAnsi"/>
          <w:sz w:val="22"/>
          <w:szCs w:val="22"/>
        </w:rPr>
        <w:t xml:space="preserve">. One resource setting, with its associated report setting, can be used for transmit and receive beam measurement and selection for channel measurement, </w:t>
      </w:r>
      <w:r w:rsidRPr="000F370A">
        <w:rPr>
          <w:rFonts w:asciiTheme="minorHAnsi" w:hAnsiTheme="minorHAnsi" w:cstheme="minorHAnsi"/>
          <w:sz w:val="22"/>
          <w:szCs w:val="22"/>
        </w:rPr>
        <w:lastRenderedPageBreak/>
        <w:t>with no strong interference present</w:t>
      </w:r>
      <w:r w:rsidR="007F0B01">
        <w:rPr>
          <w:rFonts w:asciiTheme="minorHAnsi" w:hAnsiTheme="minorHAnsi" w:cstheme="minorHAnsi"/>
          <w:sz w:val="22"/>
          <w:szCs w:val="22"/>
        </w:rPr>
        <w:t>. This resource setting corresponds to L1-RSRP report</w:t>
      </w:r>
      <w:r w:rsidRPr="000F370A">
        <w:rPr>
          <w:rFonts w:asciiTheme="minorHAnsi" w:hAnsiTheme="minorHAnsi" w:cstheme="minorHAnsi"/>
          <w:sz w:val="22"/>
          <w:szCs w:val="22"/>
        </w:rPr>
        <w:t>. The ad</w:t>
      </w:r>
      <w:r w:rsidR="007A031F" w:rsidRPr="000F370A">
        <w:rPr>
          <w:rFonts w:asciiTheme="minorHAnsi" w:hAnsiTheme="minorHAnsi" w:cstheme="minorHAnsi"/>
          <w:sz w:val="22"/>
          <w:szCs w:val="22"/>
        </w:rPr>
        <w:t>ditional resource setting, can be used for interference measurement on CSI-IM or on NZP-CSI-RS, i</w:t>
      </w:r>
      <w:r w:rsidR="007F0B01">
        <w:rPr>
          <w:rFonts w:asciiTheme="minorHAnsi" w:hAnsiTheme="minorHAnsi" w:cstheme="minorHAnsi"/>
          <w:sz w:val="22"/>
          <w:szCs w:val="22"/>
        </w:rPr>
        <w:t xml:space="preserve">n the presence of interference, in which case the corresponding resource indicator and L1-SINR is included in the report. </w:t>
      </w:r>
    </w:p>
    <w:p w:rsidR="007F0B01" w:rsidRPr="00AC47D9" w:rsidRDefault="00AD1799" w:rsidP="007F0B0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sidR="007F0B01">
        <w:rPr>
          <w:rFonts w:asciiTheme="minorHAnsi" w:hAnsiTheme="minorHAnsi" w:cstheme="minorHAnsi"/>
          <w:b/>
          <w:sz w:val="22"/>
          <w:szCs w:val="22"/>
        </w:rPr>
        <w:t>2</w:t>
      </w:r>
      <w:r w:rsidR="00AC47D9">
        <w:rPr>
          <w:rFonts w:asciiTheme="minorHAnsi" w:hAnsiTheme="minorHAnsi" w:cstheme="minorHAnsi"/>
          <w:b/>
          <w:sz w:val="22"/>
          <w:szCs w:val="22"/>
        </w:rPr>
        <w:t xml:space="preserve">: Interference measurement can be included using additional report settings and/or resource settings for beam management </w:t>
      </w:r>
    </w:p>
    <w:p w:rsidR="007F0B01" w:rsidRDefault="009C09DF" w:rsidP="003D363D">
      <w:pPr>
        <w:pStyle w:val="Heading1"/>
      </w:pPr>
      <w:r>
        <w:t>Beam Failure Recovery for SCell</w:t>
      </w:r>
    </w:p>
    <w:p w:rsidR="00F47686" w:rsidRPr="00F47686" w:rsidRDefault="00F47686" w:rsidP="007F0B01">
      <w:pPr>
        <w:keepNext/>
        <w:rPr>
          <w:rFonts w:asciiTheme="minorHAnsi" w:hAnsiTheme="minorHAnsi" w:cstheme="minorHAnsi"/>
          <w:sz w:val="22"/>
          <w:szCs w:val="22"/>
        </w:rPr>
      </w:pPr>
      <w:r w:rsidRPr="00F47686">
        <w:rPr>
          <w:rFonts w:asciiTheme="minorHAnsi" w:hAnsiTheme="minorHAnsi" w:cstheme="minorHAnsi"/>
          <w:sz w:val="22"/>
          <w:szCs w:val="22"/>
        </w:rPr>
        <w:t>Beam failure recovery mechanism in Rel. 15 includes the following aspects.</w:t>
      </w:r>
    </w:p>
    <w:p w:rsidR="00F47686" w:rsidRPr="00F47686" w:rsidRDefault="00F47686" w:rsidP="00F47686">
      <w:pPr>
        <w:pStyle w:val="ListParagraph"/>
        <w:keepNext/>
        <w:numPr>
          <w:ilvl w:val="0"/>
          <w:numId w:val="19"/>
        </w:numPr>
        <w:rPr>
          <w:rFonts w:asciiTheme="minorHAnsi" w:hAnsiTheme="minorHAnsi" w:cstheme="minorHAnsi"/>
          <w:sz w:val="22"/>
          <w:szCs w:val="22"/>
        </w:rPr>
      </w:pPr>
      <w:r w:rsidRPr="00F47686">
        <w:rPr>
          <w:rFonts w:asciiTheme="minorHAnsi" w:hAnsiTheme="minorHAnsi" w:cstheme="minorHAnsi"/>
          <w:sz w:val="22"/>
          <w:szCs w:val="22"/>
        </w:rPr>
        <w:t>Beam failure detection</w:t>
      </w:r>
    </w:p>
    <w:p w:rsidR="00F47686" w:rsidRPr="00F47686" w:rsidRDefault="00F47686" w:rsidP="00F47686">
      <w:pPr>
        <w:pStyle w:val="ListParagraph"/>
        <w:keepNext/>
        <w:numPr>
          <w:ilvl w:val="0"/>
          <w:numId w:val="19"/>
        </w:numPr>
        <w:rPr>
          <w:rFonts w:asciiTheme="minorHAnsi" w:hAnsiTheme="minorHAnsi" w:cstheme="minorHAnsi"/>
          <w:sz w:val="22"/>
          <w:szCs w:val="22"/>
        </w:rPr>
      </w:pPr>
      <w:r w:rsidRPr="00F47686">
        <w:rPr>
          <w:rFonts w:asciiTheme="minorHAnsi" w:hAnsiTheme="minorHAnsi" w:cstheme="minorHAnsi"/>
          <w:sz w:val="22"/>
          <w:szCs w:val="22"/>
        </w:rPr>
        <w:t>New candidate beam identification</w:t>
      </w:r>
    </w:p>
    <w:p w:rsidR="00F47686" w:rsidRPr="00F47686" w:rsidRDefault="00F47686" w:rsidP="00F47686">
      <w:pPr>
        <w:pStyle w:val="ListParagraph"/>
        <w:keepNext/>
        <w:numPr>
          <w:ilvl w:val="0"/>
          <w:numId w:val="19"/>
        </w:numPr>
        <w:rPr>
          <w:rFonts w:asciiTheme="minorHAnsi" w:hAnsiTheme="minorHAnsi" w:cstheme="minorHAnsi"/>
          <w:sz w:val="22"/>
          <w:szCs w:val="22"/>
        </w:rPr>
      </w:pPr>
      <w:r w:rsidRPr="00F47686">
        <w:rPr>
          <w:rFonts w:asciiTheme="minorHAnsi" w:hAnsiTheme="minorHAnsi" w:cstheme="minorHAnsi"/>
          <w:sz w:val="22"/>
          <w:szCs w:val="22"/>
        </w:rPr>
        <w:t>Beam failure recovery request transmission</w:t>
      </w:r>
    </w:p>
    <w:p w:rsidR="00F47686" w:rsidRDefault="00F47686" w:rsidP="007F0B01">
      <w:pPr>
        <w:pStyle w:val="ListParagraph"/>
        <w:keepNext/>
        <w:numPr>
          <w:ilvl w:val="0"/>
          <w:numId w:val="19"/>
        </w:numPr>
        <w:rPr>
          <w:rFonts w:asciiTheme="minorHAnsi" w:hAnsiTheme="minorHAnsi" w:cstheme="minorHAnsi"/>
          <w:sz w:val="22"/>
          <w:szCs w:val="22"/>
        </w:rPr>
      </w:pPr>
      <w:r w:rsidRPr="00F47686">
        <w:rPr>
          <w:rFonts w:asciiTheme="minorHAnsi" w:hAnsiTheme="minorHAnsi" w:cstheme="minorHAnsi"/>
          <w:sz w:val="22"/>
          <w:szCs w:val="22"/>
        </w:rPr>
        <w:t>UE monitors gNB response for beam failure recovery request.</w:t>
      </w:r>
    </w:p>
    <w:p w:rsidR="00DB5A96" w:rsidRPr="00DB5A96" w:rsidRDefault="00DB5A96" w:rsidP="000F0491">
      <w:pPr>
        <w:pStyle w:val="ListParagraph"/>
        <w:keepNext/>
        <w:rPr>
          <w:rFonts w:asciiTheme="minorHAnsi" w:hAnsiTheme="minorHAnsi" w:cstheme="minorHAnsi"/>
          <w:sz w:val="22"/>
          <w:szCs w:val="22"/>
        </w:rPr>
      </w:pPr>
    </w:p>
    <w:p w:rsidR="00DB5A96" w:rsidRDefault="00F47686" w:rsidP="007F0B01">
      <w:pPr>
        <w:keepNext/>
        <w:rPr>
          <w:rFonts w:asciiTheme="minorHAnsi" w:hAnsiTheme="minorHAnsi" w:cstheme="minorHAnsi"/>
          <w:sz w:val="22"/>
          <w:szCs w:val="22"/>
        </w:rPr>
      </w:pPr>
      <w:r w:rsidRPr="00F47686">
        <w:rPr>
          <w:rFonts w:asciiTheme="minorHAnsi" w:hAnsiTheme="minorHAnsi" w:cstheme="minorHAnsi"/>
          <w:sz w:val="22"/>
          <w:szCs w:val="22"/>
        </w:rPr>
        <w:t xml:space="preserve">Beam failure recovery for SCell in Rel. 16 is based on the beam failure recovery procedure specified in Rel. 15. </w:t>
      </w:r>
      <w:r w:rsidR="00DB5A96">
        <w:rPr>
          <w:rFonts w:asciiTheme="minorHAnsi" w:hAnsiTheme="minorHAnsi" w:cstheme="minorHAnsi"/>
          <w:sz w:val="22"/>
          <w:szCs w:val="22"/>
        </w:rPr>
        <w:t xml:space="preserve">Beam failure recovery request transmission in Rel. 15 was based on CF-RACH and CB-RACH resources. Reducing latency and overhead, however, is an important factor to consider for BFR in SCell, especially in beam failure recovery request transmission. In addition to the procedure specified in Rel. 15, PUCCH based beam failure recovery request transmission should be </w:t>
      </w:r>
      <w:r w:rsidR="000F0491">
        <w:rPr>
          <w:rFonts w:asciiTheme="minorHAnsi" w:hAnsiTheme="minorHAnsi" w:cstheme="minorHAnsi"/>
          <w:sz w:val="22"/>
          <w:szCs w:val="22"/>
        </w:rPr>
        <w:t>supported</w:t>
      </w:r>
      <w:r w:rsidR="00DB5A96">
        <w:rPr>
          <w:rFonts w:asciiTheme="minorHAnsi" w:hAnsiTheme="minorHAnsi" w:cstheme="minorHAnsi"/>
          <w:sz w:val="22"/>
          <w:szCs w:val="22"/>
        </w:rPr>
        <w:t xml:space="preserve"> for BFR for SCell. </w:t>
      </w:r>
    </w:p>
    <w:p w:rsidR="00DB5A96" w:rsidRPr="00DB5A96" w:rsidRDefault="00DB5A96" w:rsidP="007F0B01">
      <w:pPr>
        <w:keepNext/>
        <w:rPr>
          <w:rFonts w:asciiTheme="minorHAnsi" w:hAnsiTheme="minorHAnsi" w:cstheme="minorHAnsi"/>
          <w:b/>
          <w:sz w:val="22"/>
          <w:szCs w:val="22"/>
        </w:rPr>
      </w:pPr>
      <w:r w:rsidRPr="00DB5A96">
        <w:rPr>
          <w:rFonts w:asciiTheme="minorHAnsi" w:hAnsiTheme="minorHAnsi" w:cstheme="minorHAnsi"/>
          <w:b/>
          <w:sz w:val="22"/>
          <w:szCs w:val="22"/>
        </w:rPr>
        <w:t xml:space="preserve">Proposal 3: PUCCH-based BFR request transmission should be supported in </w:t>
      </w:r>
      <w:r w:rsidR="004803DD">
        <w:rPr>
          <w:rFonts w:asciiTheme="minorHAnsi" w:hAnsiTheme="minorHAnsi" w:cstheme="minorHAnsi"/>
          <w:b/>
          <w:sz w:val="22"/>
          <w:szCs w:val="22"/>
        </w:rPr>
        <w:t xml:space="preserve">BFR for </w:t>
      </w:r>
      <w:r w:rsidRPr="00DB5A96">
        <w:rPr>
          <w:rFonts w:asciiTheme="minorHAnsi" w:hAnsiTheme="minorHAnsi" w:cstheme="minorHAnsi"/>
          <w:b/>
          <w:sz w:val="22"/>
          <w:szCs w:val="22"/>
        </w:rPr>
        <w:t>SCell.</w:t>
      </w:r>
    </w:p>
    <w:p w:rsidR="006B5489" w:rsidRPr="006546B2" w:rsidRDefault="006B5489" w:rsidP="006546B2"/>
    <w:p w:rsidR="007338D6" w:rsidRPr="00172743" w:rsidRDefault="003A566A" w:rsidP="003D363D">
      <w:pPr>
        <w:pStyle w:val="Heading1"/>
      </w:pPr>
      <w:r w:rsidRPr="00172743">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 xml:space="preserve">discussed </w:t>
      </w:r>
      <w:r w:rsidR="00DB5A96">
        <w:rPr>
          <w:rFonts w:ascii="Calibri" w:hAnsi="Calibri"/>
          <w:sz w:val="22"/>
          <w:szCs w:val="22"/>
        </w:rPr>
        <w:t>multi-panel transmit/receive beam management, beam measurement and reporting based on L1-SINR and BFR on SCell. We made the following proposals.</w:t>
      </w:r>
    </w:p>
    <w:p w:rsidR="00F35911" w:rsidRPr="000F370A" w:rsidRDefault="00F35911" w:rsidP="00172743">
      <w:pPr>
        <w:spacing w:before="0" w:after="0"/>
        <w:rPr>
          <w:rFonts w:ascii="Calibri" w:hAnsi="Calibri"/>
          <w:sz w:val="22"/>
          <w:szCs w:val="22"/>
        </w:rPr>
      </w:pPr>
    </w:p>
    <w:p w:rsidR="000A7E7A" w:rsidRDefault="000A7E7A" w:rsidP="000A7E7A">
      <w:pPr>
        <w:rPr>
          <w:rFonts w:asciiTheme="minorHAnsi" w:eastAsia="MS Mincho" w:hAnsiTheme="minorHAnsi" w:cstheme="minorHAnsi"/>
          <w:b/>
          <w:sz w:val="22"/>
          <w:szCs w:val="22"/>
        </w:rPr>
      </w:pPr>
      <w:r w:rsidRPr="007F0B01">
        <w:rPr>
          <w:rFonts w:asciiTheme="minorHAnsi" w:eastAsia="MS Mincho" w:hAnsiTheme="minorHAnsi" w:cstheme="minorHAnsi"/>
          <w:b/>
          <w:sz w:val="22"/>
          <w:szCs w:val="22"/>
        </w:rPr>
        <w:t xml:space="preserve">Proposal 1:  </w:t>
      </w:r>
      <w:r>
        <w:rPr>
          <w:rFonts w:asciiTheme="minorHAnsi" w:eastAsia="MS Mincho" w:hAnsiTheme="minorHAnsi" w:cstheme="minorHAnsi"/>
          <w:b/>
          <w:sz w:val="22"/>
          <w:szCs w:val="22"/>
        </w:rPr>
        <w:t>An i</w:t>
      </w:r>
      <w:r w:rsidRPr="007F0B01">
        <w:rPr>
          <w:rFonts w:asciiTheme="minorHAnsi" w:eastAsia="MS Mincho" w:hAnsiTheme="minorHAnsi" w:cstheme="minorHAnsi"/>
          <w:b/>
          <w:sz w:val="22"/>
          <w:szCs w:val="22"/>
        </w:rPr>
        <w:t xml:space="preserve">ndication of </w:t>
      </w:r>
      <w:r>
        <w:rPr>
          <w:rFonts w:asciiTheme="minorHAnsi" w:eastAsia="MS Mincho" w:hAnsiTheme="minorHAnsi" w:cstheme="minorHAnsi"/>
          <w:b/>
          <w:sz w:val="22"/>
          <w:szCs w:val="22"/>
        </w:rPr>
        <w:t xml:space="preserve">the </w:t>
      </w:r>
      <w:r w:rsidRPr="007F0B01">
        <w:rPr>
          <w:rFonts w:asciiTheme="minorHAnsi" w:eastAsia="MS Mincho" w:hAnsiTheme="minorHAnsi" w:cstheme="minorHAnsi"/>
          <w:b/>
          <w:sz w:val="22"/>
          <w:szCs w:val="22"/>
        </w:rPr>
        <w:t>selected group of beams at the UE</w:t>
      </w:r>
      <w:r>
        <w:rPr>
          <w:rFonts w:asciiTheme="minorHAnsi" w:eastAsia="MS Mincho" w:hAnsiTheme="minorHAnsi" w:cstheme="minorHAnsi"/>
          <w:b/>
          <w:sz w:val="22"/>
          <w:szCs w:val="22"/>
        </w:rPr>
        <w:t>, e.g. selected panel(s),</w:t>
      </w:r>
      <w:r w:rsidRPr="007F0B01">
        <w:rPr>
          <w:rFonts w:asciiTheme="minorHAnsi" w:eastAsia="MS Mincho" w:hAnsiTheme="minorHAnsi" w:cstheme="minorHAnsi"/>
          <w:b/>
          <w:sz w:val="22"/>
          <w:szCs w:val="22"/>
        </w:rPr>
        <w:t xml:space="preserve"> should be supported </w:t>
      </w:r>
    </w:p>
    <w:p w:rsidR="00CA0F3E" w:rsidRPr="00AC47D9" w:rsidRDefault="00CA0F3E" w:rsidP="00CA0F3E">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Pr>
          <w:rFonts w:asciiTheme="minorHAnsi" w:hAnsiTheme="minorHAnsi" w:cstheme="minorHAnsi"/>
          <w:b/>
          <w:sz w:val="22"/>
          <w:szCs w:val="22"/>
        </w:rPr>
        <w:t xml:space="preserve">2: Interference measurement can be included using additional report settings and/or resource settings for beam management </w:t>
      </w:r>
    </w:p>
    <w:p w:rsidR="00DB5A96" w:rsidRDefault="00DB5A96" w:rsidP="00DB5A96">
      <w:pPr>
        <w:keepNext/>
        <w:rPr>
          <w:rFonts w:asciiTheme="minorHAnsi" w:hAnsiTheme="minorHAnsi" w:cstheme="minorHAnsi"/>
          <w:b/>
          <w:sz w:val="22"/>
          <w:szCs w:val="22"/>
        </w:rPr>
      </w:pPr>
      <w:r w:rsidRPr="00DB5A96">
        <w:rPr>
          <w:rFonts w:asciiTheme="minorHAnsi" w:hAnsiTheme="minorHAnsi" w:cstheme="minorHAnsi"/>
          <w:b/>
          <w:sz w:val="22"/>
          <w:szCs w:val="22"/>
        </w:rPr>
        <w:t xml:space="preserve">Proposal 3: PUCCH-based BFR request transmission should be supported in </w:t>
      </w:r>
      <w:r w:rsidR="002749EE">
        <w:rPr>
          <w:rFonts w:asciiTheme="minorHAnsi" w:hAnsiTheme="minorHAnsi" w:cstheme="minorHAnsi"/>
          <w:b/>
          <w:sz w:val="22"/>
          <w:szCs w:val="22"/>
        </w:rPr>
        <w:t>BFR</w:t>
      </w:r>
      <w:r w:rsidR="00C861F0">
        <w:rPr>
          <w:rFonts w:asciiTheme="minorHAnsi" w:hAnsiTheme="minorHAnsi" w:cstheme="minorHAnsi"/>
          <w:b/>
          <w:sz w:val="22"/>
          <w:szCs w:val="22"/>
        </w:rPr>
        <w:t xml:space="preserve"> for</w:t>
      </w:r>
      <w:r w:rsidR="002749EE">
        <w:rPr>
          <w:rFonts w:asciiTheme="minorHAnsi" w:hAnsiTheme="minorHAnsi" w:cstheme="minorHAnsi"/>
          <w:b/>
          <w:sz w:val="22"/>
          <w:szCs w:val="22"/>
        </w:rPr>
        <w:t xml:space="preserve"> </w:t>
      </w:r>
      <w:r w:rsidRPr="00DB5A96">
        <w:rPr>
          <w:rFonts w:asciiTheme="minorHAnsi" w:hAnsiTheme="minorHAnsi" w:cstheme="minorHAnsi"/>
          <w:b/>
          <w:sz w:val="22"/>
          <w:szCs w:val="22"/>
        </w:rPr>
        <w:t>SCell.</w:t>
      </w: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6E21F5" w:rsidRDefault="00287472" w:rsidP="003D363D">
      <w:pPr>
        <w:rPr>
          <w:rFonts w:eastAsiaTheme="minorEastAsia"/>
          <w:lang w:val="en-GB"/>
        </w:rPr>
      </w:pPr>
      <w:r>
        <w:rPr>
          <w:rFonts w:eastAsiaTheme="minorEastAsia"/>
          <w:lang w:val="en-GB"/>
        </w:rPr>
        <w:t xml:space="preserve">[1]  </w:t>
      </w:r>
      <w:r w:rsidR="003D363D">
        <w:rPr>
          <w:rFonts w:eastAsiaTheme="minorEastAsia"/>
          <w:lang w:val="en-GB"/>
        </w:rPr>
        <w:t>3GPP RAN1#94bis Chairman’s notes, Chengdu, China, Oct. 2018</w:t>
      </w:r>
      <w:r w:rsidR="003D363D">
        <w:rPr>
          <w:rFonts w:eastAsiaTheme="minorEastAsia"/>
          <w:lang w:val="en-GB"/>
        </w:rPr>
        <w:t xml:space="preserve">   </w:t>
      </w:r>
    </w:p>
    <w:p w:rsidR="003D363D" w:rsidRPr="00DB5A96" w:rsidRDefault="003D363D" w:rsidP="00DB5A96">
      <w:pPr>
        <w:keepNext/>
        <w:rPr>
          <w:rFonts w:asciiTheme="minorHAnsi" w:hAnsiTheme="minorHAnsi" w:cstheme="minorHAnsi"/>
          <w:b/>
          <w:sz w:val="22"/>
          <w:szCs w:val="22"/>
        </w:rPr>
      </w:pPr>
    </w:p>
    <w:sectPr w:rsidR="003D363D" w:rsidRPr="00DB5A9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3D1" w:rsidRDefault="00A943D1" w:rsidP="00424124">
      <w:pPr>
        <w:spacing w:before="0" w:after="0"/>
      </w:pPr>
      <w:r>
        <w:separator/>
      </w:r>
    </w:p>
  </w:endnote>
  <w:endnote w:type="continuationSeparator" w:id="0">
    <w:p w:rsidR="00A943D1" w:rsidRDefault="00A943D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3D1" w:rsidRDefault="00A943D1" w:rsidP="00424124">
      <w:pPr>
        <w:spacing w:before="0" w:after="0"/>
      </w:pPr>
      <w:r>
        <w:separator/>
      </w:r>
    </w:p>
  </w:footnote>
  <w:footnote w:type="continuationSeparator" w:id="0">
    <w:p w:rsidR="00A943D1" w:rsidRDefault="00A943D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3"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7"/>
  </w:num>
  <w:num w:numId="4">
    <w:abstractNumId w:val="12"/>
  </w:num>
  <w:num w:numId="5">
    <w:abstractNumId w:val="5"/>
  </w:num>
  <w:num w:numId="6">
    <w:abstractNumId w:val="13"/>
  </w:num>
  <w:num w:numId="7">
    <w:abstractNumId w:val="14"/>
  </w:num>
  <w:num w:numId="8">
    <w:abstractNumId w:val="4"/>
  </w:num>
  <w:num w:numId="9">
    <w:abstractNumId w:val="6"/>
  </w:num>
  <w:num w:numId="10">
    <w:abstractNumId w:val="7"/>
  </w:num>
  <w:num w:numId="11">
    <w:abstractNumId w:val="3"/>
  </w:num>
  <w:num w:numId="12">
    <w:abstractNumId w:val="11"/>
  </w:num>
  <w:num w:numId="13">
    <w:abstractNumId w:val="8"/>
  </w:num>
  <w:num w:numId="14">
    <w:abstractNumId w:val="16"/>
  </w:num>
  <w:num w:numId="15">
    <w:abstractNumId w:val="2"/>
  </w:num>
  <w:num w:numId="16">
    <w:abstractNumId w:val="1"/>
  </w:num>
  <w:num w:numId="17">
    <w:abstractNumId w:val="9"/>
  </w:num>
  <w:num w:numId="18">
    <w:abstractNumId w:val="18"/>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00A9"/>
    <w:rsid w:val="00032D47"/>
    <w:rsid w:val="0004621C"/>
    <w:rsid w:val="000463E4"/>
    <w:rsid w:val="00051B4B"/>
    <w:rsid w:val="00052819"/>
    <w:rsid w:val="000550BC"/>
    <w:rsid w:val="000643FA"/>
    <w:rsid w:val="000730C9"/>
    <w:rsid w:val="000751B1"/>
    <w:rsid w:val="0007575F"/>
    <w:rsid w:val="00075FD1"/>
    <w:rsid w:val="00085800"/>
    <w:rsid w:val="000865E3"/>
    <w:rsid w:val="00087CFC"/>
    <w:rsid w:val="000917C5"/>
    <w:rsid w:val="00097A6B"/>
    <w:rsid w:val="000A36A9"/>
    <w:rsid w:val="000A47E8"/>
    <w:rsid w:val="000A7E7A"/>
    <w:rsid w:val="000B0720"/>
    <w:rsid w:val="000B6D99"/>
    <w:rsid w:val="000C57B9"/>
    <w:rsid w:val="000D0046"/>
    <w:rsid w:val="000D38DC"/>
    <w:rsid w:val="000D7BDB"/>
    <w:rsid w:val="000E29D8"/>
    <w:rsid w:val="000E58D1"/>
    <w:rsid w:val="000F0491"/>
    <w:rsid w:val="000F370A"/>
    <w:rsid w:val="0010303E"/>
    <w:rsid w:val="0011327D"/>
    <w:rsid w:val="00116487"/>
    <w:rsid w:val="00116DA6"/>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699C"/>
    <w:rsid w:val="001D67C7"/>
    <w:rsid w:val="001E0CE1"/>
    <w:rsid w:val="001E58CC"/>
    <w:rsid w:val="001F10B9"/>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ADA"/>
    <w:rsid w:val="00257B32"/>
    <w:rsid w:val="00260758"/>
    <w:rsid w:val="00262116"/>
    <w:rsid w:val="002641FE"/>
    <w:rsid w:val="00267362"/>
    <w:rsid w:val="002725E8"/>
    <w:rsid w:val="00272EC2"/>
    <w:rsid w:val="00273B2A"/>
    <w:rsid w:val="00274677"/>
    <w:rsid w:val="002749EE"/>
    <w:rsid w:val="00284852"/>
    <w:rsid w:val="00284D6A"/>
    <w:rsid w:val="00287472"/>
    <w:rsid w:val="0029018D"/>
    <w:rsid w:val="0029147A"/>
    <w:rsid w:val="00296FEE"/>
    <w:rsid w:val="00297225"/>
    <w:rsid w:val="002A005E"/>
    <w:rsid w:val="002A0270"/>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64C78"/>
    <w:rsid w:val="003727DB"/>
    <w:rsid w:val="00386642"/>
    <w:rsid w:val="00392170"/>
    <w:rsid w:val="003921D6"/>
    <w:rsid w:val="003965EE"/>
    <w:rsid w:val="003A298A"/>
    <w:rsid w:val="003A553B"/>
    <w:rsid w:val="003A566A"/>
    <w:rsid w:val="003A6227"/>
    <w:rsid w:val="003B1EC9"/>
    <w:rsid w:val="003C033C"/>
    <w:rsid w:val="003C2392"/>
    <w:rsid w:val="003C2E75"/>
    <w:rsid w:val="003D363D"/>
    <w:rsid w:val="003E1304"/>
    <w:rsid w:val="003E7121"/>
    <w:rsid w:val="003F0731"/>
    <w:rsid w:val="003F33B4"/>
    <w:rsid w:val="00402381"/>
    <w:rsid w:val="00402D8F"/>
    <w:rsid w:val="00405F6D"/>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03DD"/>
    <w:rsid w:val="0048301B"/>
    <w:rsid w:val="0048419B"/>
    <w:rsid w:val="004A5ABE"/>
    <w:rsid w:val="004A6424"/>
    <w:rsid w:val="004A69D0"/>
    <w:rsid w:val="004A6A82"/>
    <w:rsid w:val="004B5E99"/>
    <w:rsid w:val="004B6AA8"/>
    <w:rsid w:val="004B6E00"/>
    <w:rsid w:val="004C186B"/>
    <w:rsid w:val="004C3F2E"/>
    <w:rsid w:val="004C46A4"/>
    <w:rsid w:val="004C4856"/>
    <w:rsid w:val="004C5F61"/>
    <w:rsid w:val="004C7784"/>
    <w:rsid w:val="004D6C83"/>
    <w:rsid w:val="004D7605"/>
    <w:rsid w:val="004D780D"/>
    <w:rsid w:val="004D7CF8"/>
    <w:rsid w:val="004E1FB6"/>
    <w:rsid w:val="004E6BC0"/>
    <w:rsid w:val="004E6D3B"/>
    <w:rsid w:val="005055A6"/>
    <w:rsid w:val="00507060"/>
    <w:rsid w:val="0051179B"/>
    <w:rsid w:val="0051424F"/>
    <w:rsid w:val="00523623"/>
    <w:rsid w:val="00532A30"/>
    <w:rsid w:val="00535CBA"/>
    <w:rsid w:val="00546AAE"/>
    <w:rsid w:val="0056238B"/>
    <w:rsid w:val="00564BE4"/>
    <w:rsid w:val="00565BDB"/>
    <w:rsid w:val="0057145F"/>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7434"/>
    <w:rsid w:val="006212E8"/>
    <w:rsid w:val="006313B1"/>
    <w:rsid w:val="00634707"/>
    <w:rsid w:val="00644034"/>
    <w:rsid w:val="00644AA9"/>
    <w:rsid w:val="00651F1A"/>
    <w:rsid w:val="00652AC8"/>
    <w:rsid w:val="0065437F"/>
    <w:rsid w:val="006546B2"/>
    <w:rsid w:val="0066157D"/>
    <w:rsid w:val="00670217"/>
    <w:rsid w:val="006756FB"/>
    <w:rsid w:val="00677BD0"/>
    <w:rsid w:val="00685B82"/>
    <w:rsid w:val="00685E11"/>
    <w:rsid w:val="00686F8A"/>
    <w:rsid w:val="00695FAA"/>
    <w:rsid w:val="0069705B"/>
    <w:rsid w:val="006A0EDC"/>
    <w:rsid w:val="006A18DB"/>
    <w:rsid w:val="006A2D2E"/>
    <w:rsid w:val="006A51C3"/>
    <w:rsid w:val="006B3F8B"/>
    <w:rsid w:val="006B5489"/>
    <w:rsid w:val="006C452E"/>
    <w:rsid w:val="006C7166"/>
    <w:rsid w:val="006E2710"/>
    <w:rsid w:val="006E790B"/>
    <w:rsid w:val="006F055C"/>
    <w:rsid w:val="00700904"/>
    <w:rsid w:val="00704C28"/>
    <w:rsid w:val="00707D20"/>
    <w:rsid w:val="00721AD7"/>
    <w:rsid w:val="007225EF"/>
    <w:rsid w:val="00722BA6"/>
    <w:rsid w:val="00723DC5"/>
    <w:rsid w:val="00727734"/>
    <w:rsid w:val="00727952"/>
    <w:rsid w:val="00727CFE"/>
    <w:rsid w:val="007338D6"/>
    <w:rsid w:val="00740B36"/>
    <w:rsid w:val="00745BDE"/>
    <w:rsid w:val="00747A6F"/>
    <w:rsid w:val="0075622F"/>
    <w:rsid w:val="0076067D"/>
    <w:rsid w:val="00762A9D"/>
    <w:rsid w:val="00782CDC"/>
    <w:rsid w:val="007839F9"/>
    <w:rsid w:val="00785B79"/>
    <w:rsid w:val="00786D0E"/>
    <w:rsid w:val="007A031F"/>
    <w:rsid w:val="007A2765"/>
    <w:rsid w:val="007B13E5"/>
    <w:rsid w:val="007B2F6B"/>
    <w:rsid w:val="007B34B8"/>
    <w:rsid w:val="007B473A"/>
    <w:rsid w:val="007D2C48"/>
    <w:rsid w:val="007D4385"/>
    <w:rsid w:val="007D4688"/>
    <w:rsid w:val="007E1249"/>
    <w:rsid w:val="007E546F"/>
    <w:rsid w:val="007E7C9D"/>
    <w:rsid w:val="007F0B01"/>
    <w:rsid w:val="007F1928"/>
    <w:rsid w:val="007F33DD"/>
    <w:rsid w:val="007F392E"/>
    <w:rsid w:val="00811A1B"/>
    <w:rsid w:val="00824DED"/>
    <w:rsid w:val="00826E5A"/>
    <w:rsid w:val="00834A3A"/>
    <w:rsid w:val="008437B2"/>
    <w:rsid w:val="00843F1C"/>
    <w:rsid w:val="00850DCE"/>
    <w:rsid w:val="00854FBB"/>
    <w:rsid w:val="00865E9E"/>
    <w:rsid w:val="008661BA"/>
    <w:rsid w:val="00871CA8"/>
    <w:rsid w:val="00885004"/>
    <w:rsid w:val="00887AB4"/>
    <w:rsid w:val="00894290"/>
    <w:rsid w:val="008A11AA"/>
    <w:rsid w:val="008A25A1"/>
    <w:rsid w:val="008A6419"/>
    <w:rsid w:val="008B1BFE"/>
    <w:rsid w:val="008B39B6"/>
    <w:rsid w:val="008B489D"/>
    <w:rsid w:val="008C1AFD"/>
    <w:rsid w:val="008C4B67"/>
    <w:rsid w:val="008D1AEF"/>
    <w:rsid w:val="008D27AF"/>
    <w:rsid w:val="008E0EC7"/>
    <w:rsid w:val="008E11EE"/>
    <w:rsid w:val="00905E86"/>
    <w:rsid w:val="00911E64"/>
    <w:rsid w:val="009124E4"/>
    <w:rsid w:val="00914FF2"/>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CA4"/>
    <w:rsid w:val="00984235"/>
    <w:rsid w:val="00993D92"/>
    <w:rsid w:val="009A4D63"/>
    <w:rsid w:val="009A54FC"/>
    <w:rsid w:val="009B08C5"/>
    <w:rsid w:val="009B1079"/>
    <w:rsid w:val="009B52C0"/>
    <w:rsid w:val="009C09DF"/>
    <w:rsid w:val="009C2167"/>
    <w:rsid w:val="009C58E5"/>
    <w:rsid w:val="009D46C1"/>
    <w:rsid w:val="009E0D02"/>
    <w:rsid w:val="009E4164"/>
    <w:rsid w:val="009E5838"/>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43D1"/>
    <w:rsid w:val="00A97C4B"/>
    <w:rsid w:val="00AA41AB"/>
    <w:rsid w:val="00AA5899"/>
    <w:rsid w:val="00AB75A3"/>
    <w:rsid w:val="00AB7FC6"/>
    <w:rsid w:val="00AC47D9"/>
    <w:rsid w:val="00AC6763"/>
    <w:rsid w:val="00AD115D"/>
    <w:rsid w:val="00AD16AE"/>
    <w:rsid w:val="00AD1799"/>
    <w:rsid w:val="00AD3741"/>
    <w:rsid w:val="00AD6C53"/>
    <w:rsid w:val="00AE72F4"/>
    <w:rsid w:val="00AF0A4B"/>
    <w:rsid w:val="00AF65DE"/>
    <w:rsid w:val="00B02162"/>
    <w:rsid w:val="00B04278"/>
    <w:rsid w:val="00B12672"/>
    <w:rsid w:val="00B1674C"/>
    <w:rsid w:val="00B23983"/>
    <w:rsid w:val="00B2434D"/>
    <w:rsid w:val="00B24D29"/>
    <w:rsid w:val="00B34716"/>
    <w:rsid w:val="00B3634D"/>
    <w:rsid w:val="00B41348"/>
    <w:rsid w:val="00B449B6"/>
    <w:rsid w:val="00B61A13"/>
    <w:rsid w:val="00B648CA"/>
    <w:rsid w:val="00B747DF"/>
    <w:rsid w:val="00B74894"/>
    <w:rsid w:val="00B82B83"/>
    <w:rsid w:val="00B909F7"/>
    <w:rsid w:val="00B96A24"/>
    <w:rsid w:val="00BA677D"/>
    <w:rsid w:val="00BA6FDB"/>
    <w:rsid w:val="00BB381E"/>
    <w:rsid w:val="00BC2E6A"/>
    <w:rsid w:val="00BC31F9"/>
    <w:rsid w:val="00BC6F83"/>
    <w:rsid w:val="00BD34B4"/>
    <w:rsid w:val="00BE2232"/>
    <w:rsid w:val="00BF2C5D"/>
    <w:rsid w:val="00BF31E3"/>
    <w:rsid w:val="00C073E0"/>
    <w:rsid w:val="00C07731"/>
    <w:rsid w:val="00C218A9"/>
    <w:rsid w:val="00C47EE0"/>
    <w:rsid w:val="00C56ADF"/>
    <w:rsid w:val="00C63006"/>
    <w:rsid w:val="00C67568"/>
    <w:rsid w:val="00C71871"/>
    <w:rsid w:val="00C861F0"/>
    <w:rsid w:val="00C913B6"/>
    <w:rsid w:val="00CA0788"/>
    <w:rsid w:val="00CA0F3E"/>
    <w:rsid w:val="00CA633C"/>
    <w:rsid w:val="00CA6EA3"/>
    <w:rsid w:val="00CB15A7"/>
    <w:rsid w:val="00CB4896"/>
    <w:rsid w:val="00CB6D97"/>
    <w:rsid w:val="00CE0C9D"/>
    <w:rsid w:val="00CE0FE4"/>
    <w:rsid w:val="00D03C16"/>
    <w:rsid w:val="00D10122"/>
    <w:rsid w:val="00D16E8E"/>
    <w:rsid w:val="00D23AD9"/>
    <w:rsid w:val="00D23CDC"/>
    <w:rsid w:val="00D268EB"/>
    <w:rsid w:val="00D26CFF"/>
    <w:rsid w:val="00D274C6"/>
    <w:rsid w:val="00D35AFA"/>
    <w:rsid w:val="00D456D8"/>
    <w:rsid w:val="00D45A0E"/>
    <w:rsid w:val="00D4758C"/>
    <w:rsid w:val="00D55FAB"/>
    <w:rsid w:val="00D56786"/>
    <w:rsid w:val="00D61EAB"/>
    <w:rsid w:val="00D623FF"/>
    <w:rsid w:val="00D701D3"/>
    <w:rsid w:val="00D73AA5"/>
    <w:rsid w:val="00D7445F"/>
    <w:rsid w:val="00D82246"/>
    <w:rsid w:val="00D878DF"/>
    <w:rsid w:val="00D90242"/>
    <w:rsid w:val="00D92B1D"/>
    <w:rsid w:val="00D96ED8"/>
    <w:rsid w:val="00DA5583"/>
    <w:rsid w:val="00DB4D3D"/>
    <w:rsid w:val="00DB5A96"/>
    <w:rsid w:val="00DB6B7E"/>
    <w:rsid w:val="00DC0E31"/>
    <w:rsid w:val="00DC0F74"/>
    <w:rsid w:val="00DC70D0"/>
    <w:rsid w:val="00DC7DD6"/>
    <w:rsid w:val="00DE3107"/>
    <w:rsid w:val="00DE70D9"/>
    <w:rsid w:val="00E12158"/>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3B02"/>
    <w:rsid w:val="00EA4E70"/>
    <w:rsid w:val="00EA5A59"/>
    <w:rsid w:val="00EB3301"/>
    <w:rsid w:val="00ED0F3C"/>
    <w:rsid w:val="00EE4A18"/>
    <w:rsid w:val="00EF61D1"/>
    <w:rsid w:val="00F0143C"/>
    <w:rsid w:val="00F15411"/>
    <w:rsid w:val="00F154D0"/>
    <w:rsid w:val="00F261D6"/>
    <w:rsid w:val="00F31811"/>
    <w:rsid w:val="00F331BC"/>
    <w:rsid w:val="00F35911"/>
    <w:rsid w:val="00F42D43"/>
    <w:rsid w:val="00F47686"/>
    <w:rsid w:val="00F5061A"/>
    <w:rsid w:val="00F57965"/>
    <w:rsid w:val="00F72B1B"/>
    <w:rsid w:val="00F77E12"/>
    <w:rsid w:val="00F814DE"/>
    <w:rsid w:val="00F83FBA"/>
    <w:rsid w:val="00F85C24"/>
    <w:rsid w:val="00F90045"/>
    <w:rsid w:val="00F917E3"/>
    <w:rsid w:val="00F925FE"/>
    <w:rsid w:val="00FA28D1"/>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EA670"/>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E8A41-4F45-4062-A33C-A4F0109F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SALAM AKOUM</cp:lastModifiedBy>
  <cp:revision>20</cp:revision>
  <cp:lastPrinted>2016-02-23T15:51:00Z</cp:lastPrinted>
  <dcterms:created xsi:type="dcterms:W3CDTF">2018-11-02T02:18:00Z</dcterms:created>
  <dcterms:modified xsi:type="dcterms:W3CDTF">2018-11-02T21:14:00Z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